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753789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262CA116" wp14:editId="192C7DF8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127760" cy="1739265"/>
                <wp:effectExtent l="0" t="0" r="0" b="0"/>
                <wp:wrapSquare wrapText="bothSides"/>
                <wp:docPr id="7" name="Imagen 7" descr="C:\Users\SECRETARIA GENERAL\Desktop\hoja membret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CRETARIA GENERAL\Desktop\hoja membre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54" t="-438" r="9329" b="82532"/>
                        <a:stretch/>
                      </pic:blipFill>
                      <pic:spPr bwMode="auto">
                        <a:xfrm>
                          <a:off x="0" y="0"/>
                          <a:ext cx="1127760" cy="173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B87AD0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B87AD0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8093A" w:rsidRPr="0078093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</w:t>
      </w:r>
      <w:r w:rsidR="006076A6">
        <w:rPr>
          <w:rFonts w:ascii="Century Gothic" w:hAnsi="Century Gothic"/>
          <w:sz w:val="24"/>
          <w:szCs w:val="24"/>
        </w:rPr>
        <w:t>tre</w:t>
      </w:r>
      <w:r w:rsidR="00B87AD0">
        <w:rPr>
          <w:rFonts w:ascii="Century Gothic" w:hAnsi="Century Gothic"/>
          <w:sz w:val="24"/>
          <w:szCs w:val="24"/>
        </w:rPr>
        <w:t xml:space="preserve"> el 1ero de Julio a Septiembre 2021</w:t>
      </w:r>
      <w:proofErr w:type="gramStart"/>
      <w:r w:rsidR="00B87AD0">
        <w:rPr>
          <w:rFonts w:ascii="Century Gothic" w:hAnsi="Century Gothic"/>
          <w:sz w:val="24"/>
          <w:szCs w:val="24"/>
        </w:rPr>
        <w:t>.</w:t>
      </w:r>
      <w:r w:rsidR="009370B1">
        <w:rPr>
          <w:rFonts w:ascii="Century Gothic" w:hAnsi="Century Gothic"/>
          <w:sz w:val="24"/>
          <w:szCs w:val="24"/>
        </w:rPr>
        <w:t>.</w:t>
      </w:r>
      <w:proofErr w:type="gramEnd"/>
      <w:r w:rsidR="009370B1">
        <w:rPr>
          <w:rFonts w:ascii="Century Gothic" w:hAnsi="Century Gothic"/>
          <w:sz w:val="24"/>
          <w:szCs w:val="24"/>
        </w:rPr>
        <w:t xml:space="preserve"> </w:t>
      </w: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Servicio a la ciudadanía de </w:t>
      </w:r>
      <w:proofErr w:type="gramStart"/>
      <w:r w:rsidRPr="00AE71AB">
        <w:rPr>
          <w:rFonts w:ascii="Century Gothic" w:hAnsi="Century Gothic"/>
          <w:sz w:val="24"/>
          <w:szCs w:val="24"/>
        </w:rPr>
        <w:t>Lunes</w:t>
      </w:r>
      <w:proofErr w:type="gramEnd"/>
      <w:r w:rsidRPr="00AE71AB">
        <w:rPr>
          <w:rFonts w:ascii="Century Gothic" w:hAnsi="Century Gothic"/>
          <w:sz w:val="24"/>
          <w:szCs w:val="24"/>
        </w:rPr>
        <w:t xml:space="preserve"> a Viernes con un horario de 09:00 am a 4:00 pm.</w:t>
      </w:r>
    </w:p>
    <w:p w:rsidR="00AE71AB" w:rsidRPr="00AE71AB" w:rsidRDefault="00893EAD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FC4DF1" w:rsidRPr="00AE71AB">
        <w:rPr>
          <w:rFonts w:ascii="Century Gothic" w:hAnsi="Century Gothic"/>
          <w:sz w:val="24"/>
          <w:szCs w:val="24"/>
        </w:rPr>
        <w:t xml:space="preserve"> </w:t>
      </w:r>
      <w:r w:rsidR="000E7C99" w:rsidRPr="00AE71AB">
        <w:rPr>
          <w:rFonts w:ascii="Century Gothic" w:hAnsi="Century Gothic"/>
          <w:sz w:val="24"/>
          <w:szCs w:val="24"/>
        </w:rPr>
        <w:t>Oficios a las diferentes dependencias de este H. Ayuntamiento.</w:t>
      </w:r>
    </w:p>
    <w:p w:rsidR="00AE71AB" w:rsidRPr="00AE71AB" w:rsidRDefault="00893EAD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de  Sesiones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9370B1">
        <w:rPr>
          <w:rFonts w:ascii="Century Gothic" w:hAnsi="Century Gothic"/>
          <w:sz w:val="24"/>
          <w:szCs w:val="24"/>
        </w:rPr>
        <w:t>llevaron a cabo 11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11</w:t>
      </w:r>
      <w:r w:rsidR="00FC4DF1" w:rsidRPr="00AE71AB">
        <w:rPr>
          <w:rFonts w:ascii="Century Gothic" w:hAnsi="Century Gothic"/>
          <w:sz w:val="24"/>
          <w:szCs w:val="24"/>
        </w:rPr>
        <w:t xml:space="preserve"> actas de cabildo.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expidieron 350</w:t>
      </w:r>
      <w:r w:rsidR="001154A8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50</w:t>
      </w:r>
      <w:r w:rsidR="00FC4DF1" w:rsidRPr="00AE71AB">
        <w:rPr>
          <w:rFonts w:ascii="Century Gothic" w:hAnsi="Century Gothic"/>
          <w:sz w:val="24"/>
          <w:szCs w:val="24"/>
        </w:rPr>
        <w:t xml:space="preserve"> Constancias de Identidad.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480</w:t>
      </w:r>
      <w:r w:rsidR="00FC4DF1" w:rsidRPr="00AE71AB">
        <w:rPr>
          <w:rFonts w:ascii="Century Gothic" w:hAnsi="Century Gothic"/>
          <w:sz w:val="24"/>
          <w:szCs w:val="24"/>
        </w:rPr>
        <w:t xml:space="preserve"> 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expidieron </w:t>
      </w:r>
      <w:r w:rsidR="009370B1">
        <w:rPr>
          <w:rFonts w:ascii="Century Gothic" w:hAnsi="Century Gothic"/>
          <w:sz w:val="24"/>
          <w:szCs w:val="24"/>
        </w:rPr>
        <w:t>320</w:t>
      </w:r>
      <w:r w:rsidR="005D59F7" w:rsidRPr="00AE71AB">
        <w:rPr>
          <w:rFonts w:ascii="Century Gothic" w:hAnsi="Century Gothic"/>
          <w:sz w:val="24"/>
          <w:szCs w:val="24"/>
        </w:rPr>
        <w:t xml:space="preserve"> certificaciones de firmas.</w:t>
      </w:r>
    </w:p>
    <w:p w:rsidR="005D59F7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atendieron 630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927A4F" w:rsidRPr="00927A4F" w:rsidRDefault="00927A4F" w:rsidP="00927A4F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5E4EFB" w:rsidRDefault="0003205B" w:rsidP="00811118">
      <w:pPr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1154A8">
        <w:rPr>
          <w:rFonts w:ascii="Century Gothic" w:hAnsi="Century Gothic"/>
          <w:b/>
          <w:sz w:val="24"/>
          <w:szCs w:val="24"/>
        </w:rPr>
        <w:t>PORTE DE ACTIVIDADES OPERATIVAS:</w:t>
      </w:r>
    </w:p>
    <w:p w:rsidR="00630CAD" w:rsidRPr="00BC186F" w:rsidRDefault="00BC186F" w:rsidP="00681E91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B611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 Consejo Municipal de Protección Civil. </w:t>
      </w:r>
    </w:p>
    <w:p w:rsidR="005E4EFB" w:rsidRPr="005E4EFB" w:rsidRDefault="00BC186F" w:rsidP="005E4EF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macro simulacro nacional, donde participamos empleados del H. Ayuntamiento, en la plaza principal. </w:t>
      </w:r>
    </w:p>
    <w:p w:rsidR="00681E91" w:rsidRPr="005E4EFB" w:rsidRDefault="00811118" w:rsidP="005E4EF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5E4EFB">
        <w:rPr>
          <w:rFonts w:ascii="Century Gothic" w:hAnsi="Century Gothic"/>
          <w:sz w:val="24"/>
          <w:szCs w:val="24"/>
        </w:rPr>
        <w:t>S</w:t>
      </w:r>
      <w:r w:rsidR="00BC186F" w:rsidRPr="005E4EFB">
        <w:rPr>
          <w:rFonts w:ascii="Century Gothic" w:hAnsi="Century Gothic"/>
          <w:sz w:val="24"/>
          <w:szCs w:val="24"/>
        </w:rPr>
        <w:t>e llevaron a cabo 23</w:t>
      </w:r>
      <w:r w:rsidR="005D59F7" w:rsidRPr="005E4EFB">
        <w:rPr>
          <w:rFonts w:ascii="Century Gothic" w:hAnsi="Century Gothic"/>
          <w:sz w:val="24"/>
          <w:szCs w:val="24"/>
        </w:rPr>
        <w:t xml:space="preserve"> visitas a las diferentes Localidades de este Municipio.</w:t>
      </w:r>
    </w:p>
    <w:p w:rsidR="0003704B" w:rsidRPr="0003704B" w:rsidRDefault="00DE2907" w:rsidP="0003704B">
      <w:pPr>
        <w:pStyle w:val="Prrafodelista"/>
        <w:numPr>
          <w:ilvl w:val="0"/>
          <w:numId w:val="13"/>
        </w:numPr>
        <w:ind w:left="993" w:firstLine="0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 xml:space="preserve">Durante los 3 meses visite  cada una de las </w:t>
      </w:r>
      <w:r w:rsidR="005D59F7" w:rsidRPr="0003704B">
        <w:rPr>
          <w:rFonts w:ascii="Century Gothic" w:hAnsi="Century Gothic"/>
          <w:sz w:val="24"/>
          <w:szCs w:val="24"/>
        </w:rPr>
        <w:t>delegaciones de este Municipio:</w:t>
      </w:r>
    </w:p>
    <w:p w:rsidR="0003704B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03704B">
      <w:pPr>
        <w:pStyle w:val="Prrafodelista"/>
        <w:numPr>
          <w:ilvl w:val="0"/>
          <w:numId w:val="12"/>
        </w:numPr>
        <w:ind w:left="993" w:firstLine="177"/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Delegación </w:t>
      </w:r>
      <w:proofErr w:type="gramStart"/>
      <w:r w:rsidRPr="00DE2907">
        <w:rPr>
          <w:rFonts w:ascii="Century Gothic" w:hAnsi="Century Gothic"/>
          <w:sz w:val="24"/>
          <w:szCs w:val="24"/>
        </w:rPr>
        <w:t>El</w:t>
      </w:r>
      <w:proofErr w:type="gramEnd"/>
      <w:r w:rsidRPr="00DE2907">
        <w:rPr>
          <w:rFonts w:ascii="Century Gothic" w:hAnsi="Century Gothic"/>
          <w:sz w:val="24"/>
          <w:szCs w:val="24"/>
        </w:rPr>
        <w:t xml:space="preserve"> Refugio Suchitlán.</w:t>
      </w:r>
    </w:p>
    <w:p w:rsidR="00DE2907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753789" w:rsidRPr="00AD695B" w:rsidRDefault="005D59F7" w:rsidP="00686147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927A4F" w:rsidRDefault="005D59F7" w:rsidP="0003704B">
      <w:pPr>
        <w:pStyle w:val="Prrafodelista"/>
        <w:numPr>
          <w:ilvl w:val="0"/>
          <w:numId w:val="6"/>
        </w:numPr>
        <w:ind w:left="993" w:firstLine="177"/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 xml:space="preserve">Asistí a </w:t>
      </w:r>
      <w:r w:rsidR="00927A4F" w:rsidRPr="00DE2907">
        <w:rPr>
          <w:rFonts w:ascii="Century Gothic" w:hAnsi="Century Gothic"/>
          <w:sz w:val="24"/>
          <w:szCs w:val="24"/>
        </w:rPr>
        <w:t xml:space="preserve">varias </w:t>
      </w:r>
      <w:r w:rsidRPr="00DE2907">
        <w:rPr>
          <w:rFonts w:ascii="Century Gothic" w:hAnsi="Century Gothic"/>
          <w:sz w:val="24"/>
          <w:szCs w:val="24"/>
        </w:rPr>
        <w:t xml:space="preserve"> reuniones de trabajo, </w:t>
      </w:r>
      <w:r w:rsidR="00927A4F" w:rsidRPr="00DE2907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DE2907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DE2907">
        <w:rPr>
          <w:rFonts w:ascii="Century Gothic" w:hAnsi="Century Gothic"/>
          <w:sz w:val="24"/>
          <w:szCs w:val="24"/>
        </w:rPr>
        <w:t xml:space="preserve">s Ciudades </w:t>
      </w:r>
      <w:r w:rsidRPr="00DE2907">
        <w:rPr>
          <w:rFonts w:ascii="Century Gothic" w:hAnsi="Century Gothic"/>
          <w:sz w:val="24"/>
          <w:szCs w:val="24"/>
        </w:rPr>
        <w:t>de Puerto Vallarta,</w:t>
      </w:r>
      <w:r w:rsidR="00927A4F" w:rsidRPr="00DE2907">
        <w:rPr>
          <w:rFonts w:ascii="Century Gothic" w:hAnsi="Century Gothic"/>
          <w:sz w:val="24"/>
          <w:szCs w:val="24"/>
        </w:rPr>
        <w:t xml:space="preserve"> Guadalajara, Mascota y Tomatlan,</w:t>
      </w:r>
      <w:r w:rsidRPr="00DE2907">
        <w:rPr>
          <w:rFonts w:ascii="Century Gothic" w:hAnsi="Century Gothic"/>
          <w:sz w:val="24"/>
          <w:szCs w:val="24"/>
        </w:rPr>
        <w:t xml:space="preserve"> Jalisco.</w:t>
      </w:r>
    </w:p>
    <w:p w:rsidR="001154A8" w:rsidRPr="001154A8" w:rsidRDefault="001154A8" w:rsidP="001154A8">
      <w:pPr>
        <w:ind w:left="960"/>
        <w:jc w:val="both"/>
        <w:rPr>
          <w:rFonts w:ascii="Century Gothic" w:hAnsi="Century Gothic"/>
          <w:sz w:val="24"/>
          <w:szCs w:val="24"/>
        </w:rPr>
      </w:pPr>
    </w:p>
    <w:p w:rsidR="001154A8" w:rsidRPr="001154A8" w:rsidRDefault="001154A8" w:rsidP="001154A8">
      <w:pPr>
        <w:jc w:val="both"/>
        <w:rPr>
          <w:rFonts w:ascii="Century Gothic" w:hAnsi="Century Gothic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AD695B">
      <w:pPr>
        <w:pStyle w:val="Ttulo2"/>
        <w:jc w:val="left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03704B" w:rsidRDefault="00B87AD0" w:rsidP="00B87AD0">
      <w:pPr>
        <w:pStyle w:val="Ttulo2"/>
        <w:tabs>
          <w:tab w:val="left" w:pos="7396"/>
        </w:tabs>
        <w:jc w:val="left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ab/>
      </w:r>
      <w:bookmarkStart w:id="0" w:name="_GoBack"/>
      <w:bookmarkEnd w:id="0"/>
    </w:p>
    <w:p w:rsidR="0003704B" w:rsidRDefault="0003704B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</w:p>
    <w:p w:rsidR="00F5086C" w:rsidRPr="00F93BF2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F5086C" w:rsidRDefault="00F5086C" w:rsidP="007E0E73">
      <w:pPr>
        <w:jc w:val="center"/>
        <w:rPr>
          <w:rFonts w:ascii="Century Gothic" w:hAnsi="Century Gothic" w:cs="Tahoma"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Pr="00F93BF2">
        <w:rPr>
          <w:rFonts w:ascii="Century Gothic" w:hAnsi="Century Gothic" w:cs="Tahoma"/>
        </w:rPr>
        <w:t xml:space="preserve"> </w:t>
      </w:r>
      <w:r w:rsidR="00B87AD0">
        <w:rPr>
          <w:rFonts w:ascii="Century Gothic" w:hAnsi="Century Gothic" w:cs="Tahoma"/>
        </w:rPr>
        <w:t>Septiembre</w:t>
      </w:r>
      <w:r w:rsidR="00BC186F">
        <w:rPr>
          <w:rFonts w:ascii="Century Gothic" w:hAnsi="Century Gothic" w:cs="Tahoma"/>
        </w:rPr>
        <w:t xml:space="preserve"> </w:t>
      </w:r>
      <w:r w:rsidR="00AC17F6">
        <w:rPr>
          <w:rFonts w:ascii="Century Gothic" w:hAnsi="Century Gothic" w:cs="Tahoma"/>
        </w:rPr>
        <w:t xml:space="preserve">  2021</w:t>
      </w:r>
      <w:r w:rsidR="0003704B">
        <w:rPr>
          <w:rFonts w:ascii="Century Gothic" w:hAnsi="Century Gothic" w:cs="Tahoma"/>
        </w:rPr>
        <w:t xml:space="preserve">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</w:rPr>
        <w:t>SECRETARIO  GENERAL 2018-2021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2D44"/>
    <w:multiLevelType w:val="hybridMultilevel"/>
    <w:tmpl w:val="30B02C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043"/>
    <w:multiLevelType w:val="hybridMultilevel"/>
    <w:tmpl w:val="D3667E7C"/>
    <w:lvl w:ilvl="0" w:tplc="5964E2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2E71EB"/>
    <w:multiLevelType w:val="hybridMultilevel"/>
    <w:tmpl w:val="A65803FE"/>
    <w:lvl w:ilvl="0" w:tplc="CF16009C">
      <w:start w:val="19"/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4"/>
    <w:rsid w:val="0003205B"/>
    <w:rsid w:val="0003704B"/>
    <w:rsid w:val="00056F32"/>
    <w:rsid w:val="000E7C99"/>
    <w:rsid w:val="001154A8"/>
    <w:rsid w:val="00160E3E"/>
    <w:rsid w:val="00240064"/>
    <w:rsid w:val="00245B24"/>
    <w:rsid w:val="003756B4"/>
    <w:rsid w:val="003A6476"/>
    <w:rsid w:val="004023E4"/>
    <w:rsid w:val="004319DD"/>
    <w:rsid w:val="005D59F7"/>
    <w:rsid w:val="005E4EFB"/>
    <w:rsid w:val="006076A6"/>
    <w:rsid w:val="00630CAD"/>
    <w:rsid w:val="00681E91"/>
    <w:rsid w:val="00686147"/>
    <w:rsid w:val="006B6B8D"/>
    <w:rsid w:val="00753789"/>
    <w:rsid w:val="00764BF8"/>
    <w:rsid w:val="0078093A"/>
    <w:rsid w:val="007E0E73"/>
    <w:rsid w:val="00811118"/>
    <w:rsid w:val="00893EAD"/>
    <w:rsid w:val="008F03BB"/>
    <w:rsid w:val="0090401D"/>
    <w:rsid w:val="00927A4F"/>
    <w:rsid w:val="009370B1"/>
    <w:rsid w:val="009A6DE9"/>
    <w:rsid w:val="009D058F"/>
    <w:rsid w:val="00A32E42"/>
    <w:rsid w:val="00AB76D3"/>
    <w:rsid w:val="00AC17F6"/>
    <w:rsid w:val="00AD695B"/>
    <w:rsid w:val="00AE71AB"/>
    <w:rsid w:val="00B6116A"/>
    <w:rsid w:val="00B87AD0"/>
    <w:rsid w:val="00BB3E2A"/>
    <w:rsid w:val="00BC186F"/>
    <w:rsid w:val="00DD5263"/>
    <w:rsid w:val="00DE2907"/>
    <w:rsid w:val="00F5086C"/>
    <w:rsid w:val="00FC4DF1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87A4-667F-4EB0-BBA8-1942424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JUAN CARLOS</cp:lastModifiedBy>
  <cp:revision>2</cp:revision>
  <cp:lastPrinted>2019-07-23T19:28:00Z</cp:lastPrinted>
  <dcterms:created xsi:type="dcterms:W3CDTF">2021-11-12T16:49:00Z</dcterms:created>
  <dcterms:modified xsi:type="dcterms:W3CDTF">2021-11-12T16:49:00Z</dcterms:modified>
</cp:coreProperties>
</file>